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0" w:before="0" w:line="240" w:lineRule="auto"/>
        <w:rPr>
          <w:rFonts w:ascii="Lato" w:cs="Lato" w:eastAsia="Lato" w:hAnsi="Lato"/>
          <w:b w:val="1"/>
        </w:rPr>
      </w:pPr>
      <w:bookmarkStart w:colFirst="0" w:colLast="0" w:name="_ohm2twm2obw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0" w:before="0" w:line="240" w:lineRule="auto"/>
        <w:rPr>
          <w:rFonts w:ascii="Lato" w:cs="Lato" w:eastAsia="Lato" w:hAnsi="Lato"/>
          <w:b w:val="1"/>
        </w:rPr>
      </w:pPr>
      <w:bookmarkStart w:colFirst="0" w:colLast="0" w:name="_9bu9b6e9b9l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0" w:before="0" w:line="240" w:lineRule="auto"/>
        <w:rPr>
          <w:rFonts w:ascii="Lato" w:cs="Lato" w:eastAsia="Lato" w:hAnsi="Lato"/>
          <w:b w:val="1"/>
        </w:rPr>
      </w:pPr>
      <w:bookmarkStart w:colFirst="0" w:colLast="0" w:name="_wfq2lzsukkz7" w:id="2"/>
      <w:bookmarkEnd w:id="2"/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Section 1: Organization Details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Organization / Teaching Artist Name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Website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Mission Statement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Location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7335"/>
        <w:tblGridChange w:id="0">
          <w:tblGrid>
            <w:gridCol w:w="1785"/>
            <w:gridCol w:w="7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Street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5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0" w:right="-555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Which arts disciplines are addressed by your school programs? Please check all that apply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Dance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Literary Arts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Media Arts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Music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Theatre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Visual Arts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Other</w:t>
      </w:r>
    </w:p>
    <w:p w:rsidR="00000000" w:rsidDel="00000000" w:rsidP="00000000" w:rsidRDefault="00000000" w:rsidRPr="00000000" w14:paraId="00000022">
      <w:pPr>
        <w:pStyle w:val="Heading3"/>
        <w:spacing w:line="240" w:lineRule="auto"/>
        <w:rPr>
          <w:rFonts w:ascii="Lato" w:cs="Lato" w:eastAsia="Lato" w:hAnsi="Lato"/>
          <w:b w:val="1"/>
          <w:i w:val="1"/>
        </w:rPr>
      </w:pPr>
      <w:bookmarkStart w:colFirst="0" w:colLast="0" w:name="_ujl65ev16gc9" w:id="3"/>
      <w:bookmarkEnd w:id="3"/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Section 2: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List All the Programs You Offer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list all programs your organization offers. Enter overarching organization programs (programs such as residencies, in-school performances, field trips, etc.) – not an individual school’s programs. For example, if you provide a dance residency named “Rhythms Around the World” to many schools, you only need to enter this program one time, not for each school you’re providing the residency to.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15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85"/>
        <w:gridCol w:w="105"/>
        <w:gridCol w:w="5040"/>
        <w:gridCol w:w="2085"/>
        <w:tblGridChange w:id="0">
          <w:tblGrid>
            <w:gridCol w:w="6585"/>
            <w:gridCol w:w="105"/>
            <w:gridCol w:w="5040"/>
            <w:gridCol w:w="2085"/>
          </w:tblGrid>
        </w:tblGridChange>
      </w:tblGrid>
      <w:tr>
        <w:trPr>
          <w:trHeight w:val="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Program 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Program Description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Grades Served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From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_____________________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through _____________________</w:t>
            </w:r>
            <w:r w:rsidDel="00000000" w:rsidR="00000000" w:rsidRPr="00000000">
              <w:rPr>
                <w:rFonts w:ascii="Lato" w:cs="Lato" w:eastAsia="Lato" w:hAnsi="Lato"/>
                <w:i w:val="1"/>
                <w:sz w:val="18"/>
                <w:szCs w:val="18"/>
                <w:u w:val="single"/>
                <w:rtl w:val="0"/>
              </w:rPr>
              <w:t xml:space="preserve">                                                  </w:t>
            </w:r>
            <w:r w:rsidDel="00000000" w:rsidR="00000000" w:rsidRPr="00000000">
              <w:rPr>
                <w:rFonts w:ascii="Lato" w:cs="Lato" w:eastAsia="Lato" w:hAnsi="Lato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18"/>
                <w:szCs w:val="18"/>
                <w:rtl w:val="0"/>
              </w:rPr>
              <w:t xml:space="preserve">            (select a grade from Pre-K - 12)                  (select a grade from Pre-K - 12)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Please rate the main outcomes for this program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u w:val="single"/>
                <w:rtl w:val="0"/>
              </w:rPr>
              <w:t xml:space="preserve">Click here for additional information (informational pop-out box):</w:t>
            </w:r>
          </w:p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  <w:i w:val="1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120" w:before="0" w:line="240" w:lineRule="auto"/>
              <w:ind w:left="0" w:firstLine="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Social Emotional: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Primary focus is development of critical personal competencies through the arts (i.e. improved self-confidence/awareness, improved empathy/sensitivity, leadership &amp; team building, self-regulation of emotions, improved peer social skills, etc).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120" w:before="0" w:line="240" w:lineRule="auto"/>
              <w:ind w:left="0" w:firstLine="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Technical: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Primary focus is acquisition, cultivation, and development of specific artistic skills or talents (i.e. improved dance technique, instrumental ability, painting skill, acting technique, etc).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120" w:before="0" w:line="240" w:lineRule="auto"/>
              <w:ind w:left="0" w:firstLine="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Academic: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Primary focus is to support and improve academic development in subjects above and beyond the arts. (i.e. arts integration).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For each type of program outcome, choose Primary Focus, Secondary Focus, or Minor Focus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Social Emotional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Technical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Academic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Please tell us the program types addressed by this program. Select apply that apply.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>
                <w:rFonts w:ascii="Lato" w:cs="Lato" w:eastAsia="Lato" w:hAnsi="Lato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u w:val="single"/>
                <w:rtl w:val="0"/>
              </w:rPr>
              <w:t xml:space="preserve">For a full list of definitions, please click here (informational pop-out box):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rFonts w:ascii="Lato" w:cs="Lato" w:eastAsia="Lato" w:hAnsi="Lato"/>
                <w:i w:val="1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120" w:before="0"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Field Trip: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A classroom visit to a cultural institution, museum, or external arts partner’s facilities for an arts-related educational experience or performance.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120" w:before="0"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In School Performance: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A single-day performance, exhibit, lecture/demonstration, or event provided by an external arts organization at the school.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120" w:before="0"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Out-Of-School Time: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Any arts-based programming in which students participate before or after the traditional school day.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120" w:before="0"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Professional Development: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Training for teachers and/or administrators that enables staff to learn more about arts-based lessons and best practices; often customized to specific classroom interests and goals.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120" w:before="0"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Residency: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An artistic program within a given school where a teaching artist(s) implements an arts learning curriculum over the course of several weeks or months, typically in conjunction with classroom instructors.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120" w:before="0"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Resources: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Physical resources that supplement a school’s arts education programming (e.g. arts supplies, instruments, etc.).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12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0"/>
                <w:szCs w:val="20"/>
                <w:rtl w:val="0"/>
              </w:rPr>
              <w:t xml:space="preserve">Other: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 Services not captured in the above-mentioned categories (e.g. parent and community programs and classes, planning services, and hosting exhibitions and competitions).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Field Trip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In-School Performance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Out-of-School Time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Professional Development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Residency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Other</w:t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815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990"/>
        <w:gridCol w:w="4845"/>
        <w:gridCol w:w="4335"/>
        <w:tblGridChange w:id="0">
          <w:tblGrid>
            <w:gridCol w:w="3645"/>
            <w:gridCol w:w="990"/>
            <w:gridCol w:w="4845"/>
            <w:gridCol w:w="4335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What arts disciplines are addressed by this program? Please check all that apply.</w:t>
            </w:r>
          </w:p>
        </w:tc>
      </w:tr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Music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Dance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Theatre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Coaching / Private Lessons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Adaptive Dance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Acting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Concert Band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Ballet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Creative Dramatics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General Music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Ballroom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Drama Club 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Guitar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Dance Composition/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Choreography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Improv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Jazz Band / Combos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Creative Movement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Musical Theatre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Marching Band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Dance Appreciation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Playwriting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Mariachi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Dance Club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Stage Management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Modern Rock Band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Dance History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Storytelling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Music Appreciation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Folkloric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Technical Theatre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Music Club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Hip Hop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Theatre Appreciation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Music Composition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Jazz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Theatre History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Music History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Modern Dance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Readers Theatre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Music Technology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Tap/Stomp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Theatre For Social Causes / Identity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Music Theory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Theatre Production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Orchestra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Percussion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Piano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Show Choir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Vocal Choir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15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990"/>
        <w:gridCol w:w="4845"/>
        <w:gridCol w:w="4335"/>
        <w:tblGridChange w:id="0">
          <w:tblGrid>
            <w:gridCol w:w="3645"/>
            <w:gridCol w:w="990"/>
            <w:gridCol w:w="4845"/>
            <w:gridCol w:w="4335"/>
          </w:tblGrid>
        </w:tblGridChange>
      </w:tblGrid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Visual Arts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Media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Literary Arts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Animation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3D Modeling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Creative Writing (Fiction, Creative Nonfiction)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Architecture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Audio Production /   Sound Design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Criticism / Critique 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Art Appreciation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Film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Debate / Forensics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Art Club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Game Design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Literary Arts Club (Newspaper, Yearbook, Journalism)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Art History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Graphic Design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Newspaper 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Ceramics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Media Arts Club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Poetry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Curating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Photojournalism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Spoken Word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Digital 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Radio TV Broadcasting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Yearbook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Design (2D)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Screenwriting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Design Objects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Special Effects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Drawing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Video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Fashion / Garment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Web Design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Folk Arts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Web App Development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Installation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Metalwork / Smithing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Painting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Performance 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Photography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Printmaking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Sculpture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Textile / Fiber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pStyle w:val="Heading3"/>
        <w:spacing w:after="0" w:before="0" w:line="240" w:lineRule="auto"/>
        <w:rPr>
          <w:rFonts w:ascii="Lato" w:cs="Lato" w:eastAsia="Lato" w:hAnsi="Lato"/>
        </w:rPr>
      </w:pPr>
      <w:bookmarkStart w:colFirst="0" w:colLast="0" w:name="_hvhnr9nf0i0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3"/>
        <w:spacing w:after="0" w:before="0" w:line="240" w:lineRule="auto"/>
        <w:rPr>
          <w:rFonts w:ascii="Lato" w:cs="Lato" w:eastAsia="Lato" w:hAnsi="Lato"/>
          <w:sz w:val="8"/>
          <w:szCs w:val="8"/>
        </w:rPr>
      </w:pPr>
      <w:bookmarkStart w:colFirst="0" w:colLast="0" w:name="_gg30vm9tfr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3"/>
        <w:spacing w:after="0" w:before="0" w:line="240" w:lineRule="auto"/>
        <w:rPr>
          <w:rFonts w:ascii="Lato" w:cs="Lato" w:eastAsia="Lato" w:hAnsi="Lato"/>
          <w:sz w:val="8"/>
          <w:szCs w:val="8"/>
        </w:rPr>
      </w:pPr>
      <w:bookmarkStart w:colFirst="0" w:colLast="0" w:name="_x79d4ul83q9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3"/>
        <w:spacing w:after="0" w:before="0" w:line="240" w:lineRule="auto"/>
        <w:rPr>
          <w:rFonts w:ascii="Lato" w:cs="Lato" w:eastAsia="Lato" w:hAnsi="Lato"/>
          <w:i w:val="1"/>
          <w:u w:val="single"/>
        </w:rPr>
      </w:pPr>
      <w:bookmarkStart w:colFirst="0" w:colLast="0" w:name="_45f8qdhxuusm" w:id="7"/>
      <w:bookmarkEnd w:id="7"/>
      <w:r w:rsidDel="00000000" w:rsidR="00000000" w:rsidRPr="00000000">
        <w:rPr>
          <w:rFonts w:ascii="Lato" w:cs="Lato" w:eastAsia="Lato" w:hAnsi="Lato"/>
          <w:rtl w:val="0"/>
        </w:rPr>
        <w:t xml:space="preserve">Section 3: School Partnerships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80" w:line="240" w:lineRule="auto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List All Your School Partnerships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80" w:line="240" w:lineRule="auto"/>
        <w:rPr>
          <w:rFonts w:ascii="Lato" w:cs="Lato" w:eastAsia="Lato" w:hAnsi="Lato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Lato" w:cs="Lato" w:eastAsia="Lato" w:hAnsi="Lato"/>
          <w:i w:val="1"/>
          <w:u w:val="single"/>
        </w:rPr>
      </w:pPr>
      <w:r w:rsidDel="00000000" w:rsidR="00000000" w:rsidRPr="00000000">
        <w:rPr>
          <w:rFonts w:ascii="Lato" w:cs="Lato" w:eastAsia="Lato" w:hAnsi="Lato"/>
          <w:i w:val="1"/>
          <w:u w:val="single"/>
          <w:rtl w:val="0"/>
        </w:rPr>
        <w:t xml:space="preserve">Click here for a list of program type definitions (pop-out box)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Field Trip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: A classroom visit to a cultural institution, museum, or external arts partner’s facilities for an arts-related educational experience or performance.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In-School Performance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: A single-day performance, exhibit, lecture/demonstration, or event provided by an external arts organization at the school.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Out-Of-School Time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: Any arts-based programming in which students participate before or after the traditional school day.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Professional Development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: Training for teachers and/or administrators that enables staff to learn more about arts-based lessons and best practices; often customized to specific classroom interests and goals.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Residency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: An artistic program within a given school where a teaching artist(s) implements an arts learning curriculum over the course of several weeks or months, typically in conjunction with classroom instructors.</w:t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Resources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: Physical resources that supplement a school’s arts education programming (e.g. arts supplies, instruments, etc.).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Other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: Services not captured in the above-mentioned categories (e.g. parent and community programs and classes, planning services, and hosting exhibitions and competitions).</w:t>
      </w:r>
    </w:p>
    <w:p w:rsidR="00000000" w:rsidDel="00000000" w:rsidP="00000000" w:rsidRDefault="00000000" w:rsidRPr="00000000" w14:paraId="00000118">
      <w:pPr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410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665"/>
        <w:gridCol w:w="1845"/>
        <w:gridCol w:w="1665"/>
        <w:gridCol w:w="1830"/>
        <w:gridCol w:w="1665"/>
        <w:gridCol w:w="1620"/>
        <w:gridCol w:w="1350"/>
        <w:tblGridChange w:id="0">
          <w:tblGrid>
            <w:gridCol w:w="1770"/>
            <w:gridCol w:w="1665"/>
            <w:gridCol w:w="1845"/>
            <w:gridCol w:w="1665"/>
            <w:gridCol w:w="1830"/>
            <w:gridCol w:w="1665"/>
            <w:gridCol w:w="1620"/>
            <w:gridCol w:w="135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School 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Field Trip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In-School Performances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Out of School Time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Residency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Other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Style w:val="Heading3"/>
        <w:rPr>
          <w:rFonts w:ascii="Lato" w:cs="Lato" w:eastAsia="Lato" w:hAnsi="Lato"/>
        </w:rPr>
      </w:pPr>
      <w:bookmarkStart w:colFirst="0" w:colLast="0" w:name="_lo28hfgong76" w:id="8"/>
      <w:bookmarkEnd w:id="8"/>
      <w:r w:rsidDel="00000000" w:rsidR="00000000" w:rsidRPr="00000000">
        <w:rPr>
          <w:rFonts w:ascii="Lato" w:cs="Lato" w:eastAsia="Lato" w:hAnsi="Lato"/>
          <w:rtl w:val="0"/>
        </w:rPr>
        <w:t xml:space="preserve">Section 4: Contacts</w:t>
      </w:r>
    </w:p>
    <w:p w:rsidR="00000000" w:rsidDel="00000000" w:rsidP="00000000" w:rsidRDefault="00000000" w:rsidRPr="00000000" w14:paraId="0000013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Let us know how to get in touch with you by providing contact information! The individual you choose as your education contact will be listed on artlook® Map as the point person at your organization for facilitating education and school partnerships. This individual will also receive any requested password resets for your organization.</w:t>
      </w:r>
    </w:p>
    <w:p w:rsidR="00000000" w:rsidDel="00000000" w:rsidP="00000000" w:rsidRDefault="00000000" w:rsidRPr="00000000" w14:paraId="0000013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Education Contact:</w:t>
      </w:r>
    </w:p>
    <w:tbl>
      <w:tblPr>
        <w:tblStyle w:val="Table6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First 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Last 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Job Title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Phone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Email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Executive Director:</w:t>
      </w:r>
    </w:p>
    <w:tbl>
      <w:tblPr>
        <w:tblStyle w:val="Table7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First 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Last 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Job Title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Phone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Email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/>
      <w:pgMar w:bottom="1440" w:top="63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rPr>
        <w:b w:val="1"/>
        <w:i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2018-19 Arts Partner Portal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6743700</wp:posOffset>
          </wp:positionH>
          <wp:positionV relativeFrom="paragraph">
            <wp:posOffset>-95249</wp:posOffset>
          </wp:positionV>
          <wp:extent cx="1481345" cy="347663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345" cy="3476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